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AC6" w14:textId="77777777" w:rsidR="00740352" w:rsidRPr="0008219F" w:rsidRDefault="00740352" w:rsidP="00740352">
      <w:pPr>
        <w:pStyle w:val="Heading1"/>
        <w:numPr>
          <w:ilvl w:val="0"/>
          <w:numId w:val="32"/>
        </w:numPr>
      </w:pPr>
      <w:r w:rsidRPr="0008219F">
        <w:t>GENERAL DESCRIPTION</w:t>
      </w:r>
    </w:p>
    <w:p w14:paraId="4A562C55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is a highly versatile collection of emergency management software modules and services including Blue Alert® Connect, Blue Alert</w:t>
      </w:r>
      <w:r>
        <w:t>®</w:t>
      </w:r>
      <w:r w:rsidRPr="00234A01">
        <w:t xml:space="preserve"> Monitor, </w:t>
      </w:r>
      <w:r>
        <w:t>Blue Alert®</w:t>
      </w:r>
      <w:r w:rsidRPr="00234A01">
        <w:t xml:space="preserve"> Motion, and </w:t>
      </w:r>
      <w:r>
        <w:t>Blue Alert®</w:t>
      </w:r>
      <w:r w:rsidRPr="00234A01">
        <w:t xml:space="preserve"> Portal. </w:t>
      </w:r>
    </w:p>
    <w:p w14:paraId="66EFA333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 xml:space="preserve">BLUE ALERT® </w:t>
      </w:r>
      <w:proofErr w:type="gramStart"/>
      <w:r w:rsidRPr="00234A01">
        <w:t>CONNECT</w:t>
      </w:r>
      <w:proofErr w:type="gramEnd"/>
    </w:p>
    <w:p w14:paraId="1254D211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Blue Alert® Connect administration software acts as a hub for connecting devices, providing a user-friendly, web-based GUI (Graphical User Interface) for the administration of all Code Blue units. </w:t>
      </w:r>
    </w:p>
    <w:p w14:paraId="5B0B974A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Connect provides SIP registration, call routing, connections to third party PBX systems, public telephone (PSTN) and Internet (ISP) networks, and other third</w:t>
      </w:r>
      <w:r>
        <w:t>-</w:t>
      </w:r>
      <w:r w:rsidRPr="00234A01">
        <w:t xml:space="preserve">party security platforms. </w:t>
      </w:r>
    </w:p>
    <w:p w14:paraId="66B7C5CD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Connect Advanced Paging License supports multicast and scheduled automated paging through the Blue Alert® Connect Platform.</w:t>
      </w:r>
    </w:p>
    <w:p w14:paraId="332C3419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Connect will support up to 200 simultaneous phone calls and up to 1,000 device licenses.</w:t>
      </w:r>
    </w:p>
    <w:p w14:paraId="41D768C4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BLUE ALERT® MONITOR</w:t>
      </w:r>
    </w:p>
    <w:p w14:paraId="7FDAFE31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Blue Alert® Monitor is a unique real-time monitoring and reporting application. Schedule and run tests of connected devices to ensure the speakers, buttons and microphones are always working properly. </w:t>
      </w:r>
    </w:p>
    <w:p w14:paraId="0F569996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provides a comprehensive set of features for faults, performance, traffic monitoring, and alarm generatio</w:t>
      </w:r>
      <w:r>
        <w:t xml:space="preserve">n </w:t>
      </w:r>
      <w:r w:rsidRPr="00234A01">
        <w:t>making it suitable for monitoring networks of any size.</w:t>
      </w:r>
    </w:p>
    <w:p w14:paraId="084EC5AB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provides a web-based user interface for monitoring and managing your network.</w:t>
      </w:r>
    </w:p>
    <w:p w14:paraId="5101F11C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supports a RESTful API for integration with other systems.</w:t>
      </w:r>
    </w:p>
    <w:p w14:paraId="528B9DA8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is highly scalable and can be deployed on a variety of platforms.</w:t>
      </w:r>
    </w:p>
    <w:p w14:paraId="512C11BE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can monitor the status and activity of online and registered Code Blue units using a combination of passive and active SNMP traps. These options, and their severity include:</w:t>
      </w:r>
    </w:p>
    <w:p w14:paraId="22B18C74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Action Script Triggered – Normal Severity</w:t>
      </w:r>
    </w:p>
    <w:p w14:paraId="1065FD3C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Auxiliary Out Toggled – Normal Severity</w:t>
      </w:r>
    </w:p>
    <w:p w14:paraId="33B09807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Call Incoming – Normal Severity</w:t>
      </w:r>
    </w:p>
    <w:p w14:paraId="18C504FC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Call Outgoing – Normal Severity</w:t>
      </w:r>
    </w:p>
    <w:p w14:paraId="595CF31D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Incoming DTMF Commands – Normal Severity</w:t>
      </w:r>
    </w:p>
    <w:p w14:paraId="5DE788E2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lastRenderedPageBreak/>
        <w:t>Account Registration – This has two responses (True and False) If True: Normal Severity. If False Major Severity</w:t>
      </w:r>
    </w:p>
    <w:p w14:paraId="167B2EC7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Call Failed – Warning Severity</w:t>
      </w:r>
    </w:p>
    <w:p w14:paraId="0EBE589F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Audio Playback Failed – Warning Severity</w:t>
      </w:r>
    </w:p>
    <w:p w14:paraId="375A7473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Script Failure – Warning Severity</w:t>
      </w:r>
    </w:p>
    <w:p w14:paraId="24322B75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Button Failure – Minor Severity</w:t>
      </w:r>
    </w:p>
    <w:p w14:paraId="33B9EC84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Battery Power Failure – Minor Severity</w:t>
      </w:r>
    </w:p>
    <w:p w14:paraId="7EB34297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High Temperature – Minor Severity</w:t>
      </w:r>
    </w:p>
    <w:p w14:paraId="3E0E955D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Mic/Speaker Failure – Minor Severity</w:t>
      </w:r>
    </w:p>
    <w:p w14:paraId="5084EA06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Cold Strat (Reboot) – Minor Severity</w:t>
      </w:r>
    </w:p>
    <w:p w14:paraId="1612CED6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Public Address Failure (if present) – Major Severity</w:t>
      </w:r>
    </w:p>
    <w:p w14:paraId="6A95955F" w14:textId="77777777" w:rsidR="00740352" w:rsidRPr="00234A01" w:rsidRDefault="00740352" w:rsidP="00740352">
      <w:pPr>
        <w:pStyle w:val="ListParagraph"/>
        <w:widowControl w:val="0"/>
        <w:numPr>
          <w:ilvl w:val="3"/>
          <w:numId w:val="33"/>
        </w:numPr>
        <w:autoSpaceDE w:val="0"/>
        <w:autoSpaceDN w:val="0"/>
        <w:spacing w:before="56" w:after="0"/>
        <w:ind w:right="288"/>
      </w:pPr>
      <w:r w:rsidRPr="00234A01">
        <w:t>Unit Offline/Unresponsive – Critical Severity</w:t>
      </w:r>
    </w:p>
    <w:p w14:paraId="07904F1B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Monitor traps/incidents can be toggled on or off for reporting.</w:t>
      </w:r>
    </w:p>
    <w:p w14:paraId="4637805F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BLUE ALERT® MOTION</w:t>
      </w:r>
    </w:p>
    <w:p w14:paraId="5A4493E0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Motion is a cloud-based video platform hosted on Amazon Web Services (AWS) with high availability performance and world leading streaming and storage technologies.</w:t>
      </w:r>
    </w:p>
    <w:p w14:paraId="13E9F0A3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Blue Alert® Motion software offers a secure video-verification &amp; event-based recording solution. </w:t>
      </w:r>
    </w:p>
    <w:p w14:paraId="10C16526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Blue Alert® Motion </w:t>
      </w:r>
      <w:r>
        <w:t>a</w:t>
      </w:r>
      <w:r w:rsidRPr="00234A01">
        <w:t>utomatically stores all Help Point® initiated videos in the cloud, making it accessible from anywhere.</w:t>
      </w:r>
    </w:p>
    <w:p w14:paraId="665224AA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Motion provides cloud-based storage for playback (up to 90 days) and download capabilities.</w:t>
      </w:r>
    </w:p>
    <w:p w14:paraId="785580FF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Motion delivers notifications to smartphones or other devices when the platform logs a new recording.</w:t>
      </w:r>
    </w:p>
    <w:p w14:paraId="03429E6B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Motion mobile application allows users to access event-based video recordings from anywhere with an internet connection.</w:t>
      </w:r>
    </w:p>
    <w:p w14:paraId="2DC41204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BLUE ALERT® PORTAL</w:t>
      </w:r>
    </w:p>
    <w:p w14:paraId="55F3DE33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Portal is a web-based interface used to access Blue Alert® application status, performance history, call logs, subscription status, and other data related to Blue Alert® software applications.</w:t>
      </w:r>
    </w:p>
    <w:p w14:paraId="07A02498" w14:textId="77777777" w:rsidR="00740352" w:rsidRDefault="00740352" w:rsidP="00740352">
      <w:pPr>
        <w:rPr>
          <w:b/>
          <w:bCs/>
          <w:color w:val="365F91"/>
          <w:sz w:val="28"/>
          <w:szCs w:val="28"/>
        </w:rPr>
      </w:pPr>
      <w:r>
        <w:br w:type="page"/>
      </w:r>
    </w:p>
    <w:p w14:paraId="25A89B6F" w14:textId="77777777" w:rsidR="00740352" w:rsidRPr="00661E50" w:rsidRDefault="00740352" w:rsidP="00740352"/>
    <w:p w14:paraId="505FBE5A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BLUE ALERT® PLATFORM DELIVERY</w:t>
      </w:r>
    </w:p>
    <w:p w14:paraId="0416520C" w14:textId="3CDB2240" w:rsidR="00740352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Blue Alert® software applications are hosted on Code Blue’s </w:t>
      </w:r>
      <w:r w:rsidR="00701F63">
        <w:t>ToolVox</w:t>
      </w:r>
      <w:r w:rsidR="008920C9">
        <w:t>™</w:t>
      </w:r>
      <w:r w:rsidR="00701F63">
        <w:t xml:space="preserve"> XS</w:t>
      </w:r>
      <w:r w:rsidRPr="00234A01">
        <w:t xml:space="preserve"> </w:t>
      </w:r>
      <w:r w:rsidR="00E22541">
        <w:t>(s</w:t>
      </w:r>
      <w:r w:rsidRPr="00234A01">
        <w:t>erver</w:t>
      </w:r>
      <w:r w:rsidR="00E22541">
        <w:t xml:space="preserve"> </w:t>
      </w:r>
      <w:r w:rsidRPr="00234A01">
        <w:t xml:space="preserve">appliance), </w:t>
      </w:r>
      <w:r w:rsidR="00E22541">
        <w:t>ToolVox™ XV (</w:t>
      </w:r>
      <w:r w:rsidRPr="00234A01">
        <w:t>VM application), or Nebula (cloud).</w:t>
      </w:r>
    </w:p>
    <w:p w14:paraId="6756578B" w14:textId="77777777" w:rsidR="00740352" w:rsidRDefault="00740352" w:rsidP="00740352"/>
    <w:p w14:paraId="766970BF" w14:textId="77777777" w:rsidR="00740352" w:rsidRPr="002875A4" w:rsidRDefault="00740352" w:rsidP="00740352">
      <w:pPr>
        <w:ind w:left="720"/>
        <w:rPr>
          <w:i/>
          <w:iCs/>
        </w:rPr>
      </w:pPr>
      <w:r w:rsidRPr="002875A4">
        <w:rPr>
          <w:i/>
          <w:iCs/>
        </w:rPr>
        <w:t>Platform Compatibility Matrix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  <w:gridCol w:w="1672"/>
        <w:gridCol w:w="1671"/>
        <w:gridCol w:w="1666"/>
        <w:gridCol w:w="1667"/>
      </w:tblGrid>
      <w:tr w:rsidR="00740352" w14:paraId="396A0903" w14:textId="77777777" w:rsidTr="00675226">
        <w:trPr>
          <w:trHeight w:val="864"/>
        </w:trPr>
        <w:tc>
          <w:tcPr>
            <w:tcW w:w="1786" w:type="dxa"/>
            <w:shd w:val="clear" w:color="auto" w:fill="EAEAEA"/>
            <w:vAlign w:val="center"/>
          </w:tcPr>
          <w:p w14:paraId="037B31E4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t>Platform</w:t>
            </w:r>
          </w:p>
        </w:tc>
        <w:tc>
          <w:tcPr>
            <w:tcW w:w="1672" w:type="dxa"/>
            <w:shd w:val="clear" w:color="auto" w:fill="EAEAEA"/>
            <w:vAlign w:val="center"/>
          </w:tcPr>
          <w:p w14:paraId="2835A4F0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 w:rsidRPr="002613DF">
              <w:t xml:space="preserve">Blue Alert® </w:t>
            </w:r>
            <w:r>
              <w:t>Connect</w:t>
            </w:r>
          </w:p>
        </w:tc>
        <w:tc>
          <w:tcPr>
            <w:tcW w:w="1671" w:type="dxa"/>
            <w:shd w:val="clear" w:color="auto" w:fill="EAEAEA"/>
            <w:vAlign w:val="center"/>
          </w:tcPr>
          <w:p w14:paraId="2D054C01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 w:rsidRPr="002613DF">
              <w:t xml:space="preserve">Blue Alert® </w:t>
            </w:r>
            <w:r>
              <w:t>Monitor</w:t>
            </w:r>
          </w:p>
        </w:tc>
        <w:tc>
          <w:tcPr>
            <w:tcW w:w="1666" w:type="dxa"/>
            <w:shd w:val="clear" w:color="auto" w:fill="EAEAEA"/>
            <w:vAlign w:val="center"/>
          </w:tcPr>
          <w:p w14:paraId="3F417A69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 w:rsidRPr="002613DF">
              <w:t xml:space="preserve">Blue Alert® </w:t>
            </w:r>
            <w:r>
              <w:t>Motion</w:t>
            </w:r>
          </w:p>
        </w:tc>
        <w:tc>
          <w:tcPr>
            <w:tcW w:w="1667" w:type="dxa"/>
            <w:shd w:val="clear" w:color="auto" w:fill="EAEAEA"/>
            <w:vAlign w:val="center"/>
          </w:tcPr>
          <w:p w14:paraId="4E01E2E3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 w:rsidRPr="002613DF">
              <w:t>Blue Alert® Por</w:t>
            </w:r>
            <w:r>
              <w:t>tal</w:t>
            </w:r>
          </w:p>
        </w:tc>
      </w:tr>
      <w:tr w:rsidR="00740352" w14:paraId="2ECE5412" w14:textId="77777777" w:rsidTr="00675226">
        <w:trPr>
          <w:trHeight w:val="864"/>
        </w:trPr>
        <w:tc>
          <w:tcPr>
            <w:tcW w:w="1786" w:type="dxa"/>
            <w:vAlign w:val="center"/>
          </w:tcPr>
          <w:p w14:paraId="33E89D2B" w14:textId="29A71A8C" w:rsidR="00740352" w:rsidRDefault="00DA59DF" w:rsidP="00675226">
            <w:pPr>
              <w:tabs>
                <w:tab w:val="left" w:pos="1194"/>
              </w:tabs>
              <w:jc w:val="center"/>
            </w:pPr>
            <w:r w:rsidRPr="00DA59DF">
              <w:t>ToolVox™ XS</w:t>
            </w:r>
            <w:r w:rsidRPr="00DA59DF">
              <w:t xml:space="preserve"> </w:t>
            </w:r>
            <w:r w:rsidR="00740352" w:rsidRPr="00501D38">
              <w:t>(appliance)</w:t>
            </w:r>
          </w:p>
        </w:tc>
        <w:tc>
          <w:tcPr>
            <w:tcW w:w="1672" w:type="dxa"/>
            <w:vAlign w:val="center"/>
          </w:tcPr>
          <w:p w14:paraId="7DE255BB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A2D3C51" wp14:editId="446FC6A4">
                  <wp:extent cx="457200" cy="457200"/>
                  <wp:effectExtent l="0" t="0" r="0" b="0"/>
                  <wp:docPr id="1030536447" name="Graphic 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Align w:val="center"/>
          </w:tcPr>
          <w:p w14:paraId="6EFFE257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F246BE8" wp14:editId="034C4D18">
                  <wp:extent cx="457200" cy="457200"/>
                  <wp:effectExtent l="0" t="0" r="0" b="0"/>
                  <wp:docPr id="654131651" name="Graphic 65413165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699B03BC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3652D5" wp14:editId="3C14894D">
                  <wp:extent cx="457200" cy="457200"/>
                  <wp:effectExtent l="0" t="0" r="0" b="0"/>
                  <wp:docPr id="806313617" name="Graphic 2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13617" name="Graphic 806313617" descr="Checkbox Crossed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7AEB454B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E42A3B" wp14:editId="1E3522C8">
                  <wp:extent cx="457200" cy="457200"/>
                  <wp:effectExtent l="0" t="0" r="0" b="0"/>
                  <wp:docPr id="158277940" name="Graphic 158277940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13617" name="Graphic 806313617" descr="Checkbox Crossed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352" w14:paraId="519C5CC3" w14:textId="77777777" w:rsidTr="00675226">
        <w:trPr>
          <w:trHeight w:val="864"/>
        </w:trPr>
        <w:tc>
          <w:tcPr>
            <w:tcW w:w="1786" w:type="dxa"/>
            <w:vAlign w:val="center"/>
          </w:tcPr>
          <w:p w14:paraId="3C7BF9E6" w14:textId="1D96C668" w:rsidR="00740352" w:rsidRDefault="00DA59DF" w:rsidP="00675226">
            <w:pPr>
              <w:tabs>
                <w:tab w:val="left" w:pos="1194"/>
              </w:tabs>
              <w:jc w:val="center"/>
            </w:pPr>
            <w:r w:rsidRPr="00DA59DF">
              <w:t>ToolVox™ XV</w:t>
            </w:r>
            <w:r w:rsidR="00740352" w:rsidRPr="00501D38">
              <w:t xml:space="preserve"> (application)</w:t>
            </w:r>
          </w:p>
        </w:tc>
        <w:tc>
          <w:tcPr>
            <w:tcW w:w="1672" w:type="dxa"/>
            <w:vAlign w:val="center"/>
          </w:tcPr>
          <w:p w14:paraId="7B2ED1B4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84042E" wp14:editId="1EA15B63">
                  <wp:extent cx="457200" cy="457200"/>
                  <wp:effectExtent l="0" t="0" r="0" b="0"/>
                  <wp:docPr id="1372942450" name="Graphic 137294245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Align w:val="center"/>
          </w:tcPr>
          <w:p w14:paraId="4E2FEED6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F3BB66A" wp14:editId="20D1C4FF">
                  <wp:extent cx="457200" cy="457200"/>
                  <wp:effectExtent l="0" t="0" r="0" b="0"/>
                  <wp:docPr id="1276700913" name="Graphic 127670091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1FEA58BE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A7F1EDD" wp14:editId="69CFCEE9">
                  <wp:extent cx="457200" cy="457200"/>
                  <wp:effectExtent l="0" t="0" r="0" b="0"/>
                  <wp:docPr id="1952264018" name="Graphic 1952264018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13617" name="Graphic 806313617" descr="Checkbox Crossed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7C5B320F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441BD8C" wp14:editId="49119C32">
                  <wp:extent cx="457200" cy="457200"/>
                  <wp:effectExtent l="0" t="0" r="0" b="0"/>
                  <wp:docPr id="1984493711" name="Graphic 1984493711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13617" name="Graphic 806313617" descr="Checkbox Crossed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352" w14:paraId="4EC1D260" w14:textId="77777777" w:rsidTr="00675226">
        <w:trPr>
          <w:trHeight w:val="864"/>
        </w:trPr>
        <w:tc>
          <w:tcPr>
            <w:tcW w:w="1786" w:type="dxa"/>
            <w:vAlign w:val="center"/>
          </w:tcPr>
          <w:p w14:paraId="116F0340" w14:textId="77777777" w:rsidR="00DA59DF" w:rsidRDefault="00740352" w:rsidP="00675226">
            <w:pPr>
              <w:tabs>
                <w:tab w:val="left" w:pos="1194"/>
              </w:tabs>
              <w:jc w:val="center"/>
            </w:pPr>
            <w:r w:rsidRPr="00501D38">
              <w:t xml:space="preserve">Nebula </w:t>
            </w:r>
          </w:p>
          <w:p w14:paraId="769F93A8" w14:textId="6EDC3876" w:rsidR="00740352" w:rsidRDefault="00740352" w:rsidP="00675226">
            <w:pPr>
              <w:tabs>
                <w:tab w:val="left" w:pos="1194"/>
              </w:tabs>
              <w:jc w:val="center"/>
            </w:pPr>
            <w:r w:rsidRPr="00501D38">
              <w:t>(cloud)</w:t>
            </w:r>
          </w:p>
        </w:tc>
        <w:tc>
          <w:tcPr>
            <w:tcW w:w="1672" w:type="dxa"/>
            <w:vAlign w:val="center"/>
          </w:tcPr>
          <w:p w14:paraId="62F086AB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3A1F910" wp14:editId="37DCBEEB">
                  <wp:extent cx="457200" cy="457200"/>
                  <wp:effectExtent l="0" t="0" r="0" b="0"/>
                  <wp:docPr id="657250306" name="Graphic 65725030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Align w:val="center"/>
          </w:tcPr>
          <w:p w14:paraId="406B4B07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A950AA0" wp14:editId="32C55A04">
                  <wp:extent cx="457200" cy="457200"/>
                  <wp:effectExtent l="0" t="0" r="0" b="0"/>
                  <wp:docPr id="1257194682" name="Graphic 125719468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6F2A1D83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81B26A4" wp14:editId="24A63D98">
                  <wp:extent cx="457200" cy="457200"/>
                  <wp:effectExtent l="0" t="0" r="0" b="0"/>
                  <wp:docPr id="937663018" name="Graphic 93766301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3DBB1FDA" w14:textId="77777777" w:rsidR="00740352" w:rsidRDefault="00740352" w:rsidP="00675226">
            <w:pPr>
              <w:tabs>
                <w:tab w:val="left" w:pos="119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895A5CC" wp14:editId="400631B7">
                  <wp:extent cx="457200" cy="457200"/>
                  <wp:effectExtent l="0" t="0" r="0" b="0"/>
                  <wp:docPr id="159920154" name="Graphic 15992015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36447" name="Graphic 1030536447" descr="Checkbox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08117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WARRANTY</w:t>
      </w:r>
    </w:p>
    <w:p w14:paraId="1A5555DB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>Blue Alert®  software shall be warrantied against any defects, under normal use, for a period of one year from the date of installation. Software maintenance programs are available after the initial warranty period expires.</w:t>
      </w:r>
    </w:p>
    <w:p w14:paraId="56CB67D5" w14:textId="77777777" w:rsidR="00740352" w:rsidRPr="00234A01" w:rsidRDefault="00740352" w:rsidP="00740352">
      <w:pPr>
        <w:pStyle w:val="Heading1"/>
        <w:numPr>
          <w:ilvl w:val="0"/>
          <w:numId w:val="32"/>
        </w:numPr>
      </w:pPr>
      <w:r w:rsidRPr="00234A01">
        <w:t>MANUFACTURER</w:t>
      </w:r>
    </w:p>
    <w:p w14:paraId="545B35D6" w14:textId="77777777" w:rsidR="00740352" w:rsidRPr="00234A01" w:rsidRDefault="00740352" w:rsidP="00740352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56" w:after="0"/>
        <w:ind w:right="288"/>
      </w:pPr>
      <w:r w:rsidRPr="00234A01">
        <w:t xml:space="preserve">The Manufacturer shall be Code Blue Corporation. 800-205-7186, 259 Hedcor Street, Holland, Michigan 49423. </w:t>
      </w:r>
      <w:hyperlink r:id="rId16">
        <w:r w:rsidRPr="00234A01">
          <w:rPr>
            <w:rStyle w:val="Hyperlink"/>
          </w:rPr>
          <w:t>www.codeblue.com.</w:t>
        </w:r>
      </w:hyperlink>
      <w:r w:rsidRPr="00234A01">
        <w:t xml:space="preserve"> THERE ARE NO EQUIVALENTS.</w:t>
      </w:r>
    </w:p>
    <w:p w14:paraId="4BF58A61" w14:textId="77777777" w:rsidR="004838AB" w:rsidRPr="000149CB" w:rsidRDefault="004838AB" w:rsidP="000149CB"/>
    <w:sectPr w:rsidR="004838AB" w:rsidRPr="000149CB" w:rsidSect="00DC14E6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640A" w14:textId="77777777" w:rsidR="00DC14E6" w:rsidRDefault="00DC14E6" w:rsidP="00E422C9">
      <w:r>
        <w:separator/>
      </w:r>
    </w:p>
  </w:endnote>
  <w:endnote w:type="continuationSeparator" w:id="0">
    <w:p w14:paraId="6FFEC774" w14:textId="77777777" w:rsidR="00DC14E6" w:rsidRDefault="00DC14E6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8A69" w14:textId="77777777" w:rsidR="000D0ABD" w:rsidRDefault="000D0ABD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CF08A9">
      <w:rPr>
        <w:b/>
        <w:color w:val="1F497D" w:themeColor="text2"/>
        <w:sz w:val="20"/>
      </w:rPr>
      <w:t>259 Hedcor</w:t>
    </w:r>
    <w:r w:rsidRPr="009E3285">
      <w:rPr>
        <w:b/>
        <w:color w:val="1F497D" w:themeColor="text2"/>
        <w:sz w:val="20"/>
      </w:rPr>
      <w:t xml:space="preserve"> S</w:t>
    </w:r>
    <w:r w:rsidR="00CF08A9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CF08A9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="003867A6" w:rsidRPr="00507F2A">
        <w:rPr>
          <w:rStyle w:val="Hyperlink"/>
          <w:rFonts w:cstheme="minorHAnsi"/>
          <w:b/>
          <w:sz w:val="20"/>
        </w:rPr>
        <w:t>www.codeblue.com</w:t>
      </w:r>
    </w:hyperlink>
  </w:p>
  <w:p w14:paraId="4BF58A6A" w14:textId="77777777" w:rsidR="003867A6" w:rsidRPr="009E3285" w:rsidRDefault="003867A6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14:paraId="4BF58A6C" w14:textId="1DAE856C" w:rsidR="000D0ABD" w:rsidRDefault="00000000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37457">
          <w:rPr>
            <w:b/>
          </w:rPr>
          <w:t>Blue Alert® 2.0</w:t>
        </w:r>
      </w:sdtContent>
    </w:sdt>
    <w:r w:rsidR="000D0ABD">
      <w:t xml:space="preserve"> </w:t>
    </w:r>
    <w:r w:rsidR="000D0ABD">
      <w:ptab w:relativeTo="margin" w:alignment="center" w:leader="none"/>
    </w:r>
    <w:sdt>
      <w:sdtPr>
        <w:rPr>
          <w:b/>
        </w:rPr>
        <w:alias w:val="Document No"/>
        <w:tag w:val="Document No"/>
        <w:id w:val="-1729842086"/>
        <w:lock w:val="sdtLocked"/>
      </w:sdtPr>
      <w:sdtContent>
        <w:r w:rsidR="000D0ABD">
          <w:rPr>
            <w:b/>
          </w:rPr>
          <w:t>AE</w:t>
        </w:r>
        <w:r w:rsidR="000D0ABD" w:rsidRPr="00AF7741">
          <w:rPr>
            <w:b/>
          </w:rPr>
          <w:t>-</w:t>
        </w:r>
        <w:r w:rsidR="00EB1C83">
          <w:rPr>
            <w:b/>
          </w:rPr>
          <w:t>1</w:t>
        </w:r>
        <w:r w:rsidR="00237457">
          <w:rPr>
            <w:b/>
          </w:rPr>
          <w:t>92</w:t>
        </w:r>
        <w:r w:rsidR="000D0ABD">
          <w:rPr>
            <w:b/>
          </w:rPr>
          <w:t>-</w:t>
        </w:r>
        <w:r w:rsidR="00701F63">
          <w:rPr>
            <w:b/>
          </w:rPr>
          <w:t>B</w:t>
        </w:r>
      </w:sdtContent>
    </w:sdt>
    <w:r w:rsidR="000D0ABD">
      <w:ptab w:relativeTo="margin" w:alignment="right" w:leader="none"/>
    </w:r>
    <w:r w:rsidR="000D0ABD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2-07T00:00:00Z">
          <w:dateFormat w:val="MM/YYYY"/>
          <w:lid w:val="en-US"/>
          <w:storeMappedDataAs w:val="dateTime"/>
          <w:calendar w:val="gregorian"/>
        </w:date>
      </w:sdtPr>
      <w:sdtContent>
        <w:r w:rsidR="00626DC5">
          <w:rPr>
            <w:b/>
            <w:noProof/>
          </w:rPr>
          <w:t xml:space="preserve">     </w:t>
        </w:r>
      </w:sdtContent>
    </w:sdt>
    <w:r w:rsidR="001F0959">
      <w:t>Page</w:t>
    </w:r>
    <w:r w:rsidR="000D0ABD">
      <w:t xml:space="preserve"> </w:t>
    </w:r>
    <w:r w:rsidR="000D0ABD" w:rsidRPr="000D0ABD">
      <w:rPr>
        <w:b/>
      </w:rPr>
      <w:fldChar w:fldCharType="begin"/>
    </w:r>
    <w:r w:rsidR="000D0ABD" w:rsidRPr="000D0ABD">
      <w:rPr>
        <w:b/>
      </w:rPr>
      <w:instrText xml:space="preserve"> PAGE  \* Arabic  \* MERGEFORMAT </w:instrText>
    </w:r>
    <w:r w:rsidR="000D0ABD" w:rsidRPr="000D0ABD">
      <w:rPr>
        <w:b/>
      </w:rPr>
      <w:fldChar w:fldCharType="separate"/>
    </w:r>
    <w:r w:rsidR="006541B8">
      <w:rPr>
        <w:b/>
        <w:noProof/>
      </w:rPr>
      <w:t>1</w:t>
    </w:r>
    <w:r w:rsidR="000D0ABD" w:rsidRPr="000D0ABD">
      <w:rPr>
        <w:b/>
      </w:rPr>
      <w:fldChar w:fldCharType="end"/>
    </w:r>
    <w:r w:rsidR="000D0ABD">
      <w:t xml:space="preserve"> of </w:t>
    </w:r>
    <w:r w:rsidR="000D0ABD" w:rsidRPr="000D0ABD">
      <w:rPr>
        <w:b/>
      </w:rPr>
      <w:fldChar w:fldCharType="begin"/>
    </w:r>
    <w:r w:rsidR="000D0ABD" w:rsidRPr="000D0ABD">
      <w:rPr>
        <w:b/>
      </w:rPr>
      <w:instrText xml:space="preserve"> NUMPAGES  \* Arabic  \* MERGEFORMAT </w:instrText>
    </w:r>
    <w:r w:rsidR="000D0ABD" w:rsidRPr="000D0ABD">
      <w:rPr>
        <w:b/>
      </w:rPr>
      <w:fldChar w:fldCharType="separate"/>
    </w:r>
    <w:r w:rsidR="006541B8">
      <w:rPr>
        <w:b/>
        <w:noProof/>
      </w:rPr>
      <w:t>2</w:t>
    </w:r>
    <w:r w:rsidR="000D0ABD" w:rsidRPr="000D0A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DD78" w14:textId="77777777" w:rsidR="00DC14E6" w:rsidRDefault="00DC14E6" w:rsidP="00E422C9">
      <w:r>
        <w:separator/>
      </w:r>
    </w:p>
  </w:footnote>
  <w:footnote w:type="continuationSeparator" w:id="0">
    <w:p w14:paraId="6EF2BC95" w14:textId="77777777" w:rsidR="00DC14E6" w:rsidRDefault="00DC14E6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8A66" w14:textId="4FF0FE11" w:rsidR="000D0ABD" w:rsidRDefault="000D0AB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F58A6D" wp14:editId="4BF58A6E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58A73" w14:textId="77777777" w:rsidR="000D0ABD" w:rsidRPr="00237AC5" w:rsidRDefault="000D0AB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58A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4BF58A73" w14:textId="77777777" w:rsidR="000D0ABD" w:rsidRPr="00237AC5" w:rsidRDefault="000D0AB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BF58A6F" wp14:editId="4BF58A70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72B75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Blue Alert®</w:t>
        </w:r>
        <w:r w:rsidR="00237457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 xml:space="preserve"> 2.0</w:t>
        </w:r>
      </w:sdtContent>
    </w:sdt>
  </w:p>
  <w:p w14:paraId="4BF58A67" w14:textId="77777777" w:rsidR="000D0ABD" w:rsidRDefault="000D0ABD">
    <w:pPr>
      <w:pStyle w:val="Header"/>
    </w:pPr>
  </w:p>
  <w:p w14:paraId="4BF58A68" w14:textId="77777777" w:rsidR="000D0ABD" w:rsidRDefault="000D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58A71" wp14:editId="4BF58A72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F58A74" w14:textId="77777777" w:rsidR="000D0ABD" w:rsidRPr="003877B2" w:rsidRDefault="000D0AB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58A71"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F58A74" w14:textId="77777777" w:rsidR="000D0ABD" w:rsidRPr="003877B2" w:rsidRDefault="000D0AB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624"/>
    <w:multiLevelType w:val="multilevel"/>
    <w:tmpl w:val="2F2AE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C21479F"/>
    <w:multiLevelType w:val="multilevel"/>
    <w:tmpl w:val="C4A8D28A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850F19"/>
    <w:multiLevelType w:val="hybridMultilevel"/>
    <w:tmpl w:val="15F4B206"/>
    <w:lvl w:ilvl="0" w:tplc="435A3C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E06EDA"/>
    <w:multiLevelType w:val="multilevel"/>
    <w:tmpl w:val="978697B2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7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A738CE"/>
    <w:multiLevelType w:val="multilevel"/>
    <w:tmpl w:val="667E462C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A806E5"/>
    <w:multiLevelType w:val="hybridMultilevel"/>
    <w:tmpl w:val="C3E244A6"/>
    <w:lvl w:ilvl="0" w:tplc="F3EC61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0E461B5"/>
    <w:multiLevelType w:val="hybridMultilevel"/>
    <w:tmpl w:val="575A6F28"/>
    <w:lvl w:ilvl="0" w:tplc="D27A10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D92368B"/>
    <w:multiLevelType w:val="multilevel"/>
    <w:tmpl w:val="C3063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E74AE3"/>
    <w:multiLevelType w:val="hybridMultilevel"/>
    <w:tmpl w:val="71925B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</w:rPr>
    </w:lvl>
    <w:lvl w:ilvl="1" w:tplc="F962DF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1B6D3D"/>
    <w:multiLevelType w:val="hybridMultilevel"/>
    <w:tmpl w:val="FE80FDEC"/>
    <w:lvl w:ilvl="0" w:tplc="435A3C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</w:rPr>
    </w:lvl>
    <w:lvl w:ilvl="1" w:tplc="F962DF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8626556">
    <w:abstractNumId w:val="5"/>
  </w:num>
  <w:num w:numId="2" w16cid:durableId="424305297">
    <w:abstractNumId w:val="17"/>
  </w:num>
  <w:num w:numId="3" w16cid:durableId="442457424">
    <w:abstractNumId w:val="5"/>
    <w:lvlOverride w:ilvl="0">
      <w:startOverride w:val="1"/>
    </w:lvlOverride>
  </w:num>
  <w:num w:numId="4" w16cid:durableId="256331907">
    <w:abstractNumId w:val="15"/>
  </w:num>
  <w:num w:numId="5" w16cid:durableId="281572541">
    <w:abstractNumId w:val="10"/>
  </w:num>
  <w:num w:numId="6" w16cid:durableId="661928855">
    <w:abstractNumId w:val="25"/>
  </w:num>
  <w:num w:numId="7" w16cid:durableId="1249000565">
    <w:abstractNumId w:val="8"/>
  </w:num>
  <w:num w:numId="8" w16cid:durableId="148330109">
    <w:abstractNumId w:val="23"/>
  </w:num>
  <w:num w:numId="9" w16cid:durableId="440808314">
    <w:abstractNumId w:val="20"/>
  </w:num>
  <w:num w:numId="10" w16cid:durableId="1552303993">
    <w:abstractNumId w:val="21"/>
  </w:num>
  <w:num w:numId="11" w16cid:durableId="354616957">
    <w:abstractNumId w:val="16"/>
  </w:num>
  <w:num w:numId="12" w16cid:durableId="1377390179">
    <w:abstractNumId w:val="3"/>
  </w:num>
  <w:num w:numId="13" w16cid:durableId="13000257">
    <w:abstractNumId w:val="4"/>
  </w:num>
  <w:num w:numId="14" w16cid:durableId="13620502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0251614">
    <w:abstractNumId w:val="11"/>
  </w:num>
  <w:num w:numId="16" w16cid:durableId="1483542020">
    <w:abstractNumId w:val="22"/>
  </w:num>
  <w:num w:numId="17" w16cid:durableId="681014480">
    <w:abstractNumId w:val="14"/>
  </w:num>
  <w:num w:numId="18" w16cid:durableId="1317223004">
    <w:abstractNumId w:val="7"/>
  </w:num>
  <w:num w:numId="19" w16cid:durableId="1925524901">
    <w:abstractNumId w:val="1"/>
  </w:num>
  <w:num w:numId="20" w16cid:durableId="1776555606">
    <w:abstractNumId w:val="0"/>
  </w:num>
  <w:num w:numId="21" w16cid:durableId="178812936">
    <w:abstractNumId w:val="1"/>
    <w:lvlOverride w:ilvl="0">
      <w:startOverride w:val="1"/>
    </w:lvlOverride>
  </w:num>
  <w:num w:numId="22" w16cid:durableId="255675028">
    <w:abstractNumId w:val="7"/>
  </w:num>
  <w:num w:numId="23" w16cid:durableId="692345590">
    <w:abstractNumId w:val="2"/>
  </w:num>
  <w:num w:numId="24" w16cid:durableId="772435339">
    <w:abstractNumId w:val="18"/>
  </w:num>
  <w:num w:numId="25" w16cid:durableId="436024326">
    <w:abstractNumId w:val="12"/>
  </w:num>
  <w:num w:numId="26" w16cid:durableId="1998341154">
    <w:abstractNumId w:val="19"/>
  </w:num>
  <w:num w:numId="27" w16cid:durableId="1102914524">
    <w:abstractNumId w:val="27"/>
  </w:num>
  <w:num w:numId="28" w16cid:durableId="1453943952">
    <w:abstractNumId w:val="13"/>
  </w:num>
  <w:num w:numId="29" w16cid:durableId="1665161041">
    <w:abstractNumId w:val="9"/>
  </w:num>
  <w:num w:numId="30" w16cid:durableId="401025156">
    <w:abstractNumId w:val="28"/>
  </w:num>
  <w:num w:numId="31" w16cid:durableId="1698774255">
    <w:abstractNumId w:val="24"/>
  </w:num>
  <w:num w:numId="32" w16cid:durableId="1453554828">
    <w:abstractNumId w:val="26"/>
  </w:num>
  <w:num w:numId="33" w16cid:durableId="1828593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182"/>
    <w:rsid w:val="000113B8"/>
    <w:rsid w:val="000149CB"/>
    <w:rsid w:val="00041F6A"/>
    <w:rsid w:val="000D0ABD"/>
    <w:rsid w:val="000F4C60"/>
    <w:rsid w:val="00125036"/>
    <w:rsid w:val="00181D62"/>
    <w:rsid w:val="001842E4"/>
    <w:rsid w:val="0018731E"/>
    <w:rsid w:val="001A7ADF"/>
    <w:rsid w:val="001B27CC"/>
    <w:rsid w:val="001F0959"/>
    <w:rsid w:val="002129A4"/>
    <w:rsid w:val="00237457"/>
    <w:rsid w:val="00237AC5"/>
    <w:rsid w:val="00251137"/>
    <w:rsid w:val="002545BE"/>
    <w:rsid w:val="00255A70"/>
    <w:rsid w:val="0027570B"/>
    <w:rsid w:val="00283A43"/>
    <w:rsid w:val="002870F0"/>
    <w:rsid w:val="002C1E38"/>
    <w:rsid w:val="002C1EED"/>
    <w:rsid w:val="00317F00"/>
    <w:rsid w:val="0032292B"/>
    <w:rsid w:val="003577DD"/>
    <w:rsid w:val="003741D3"/>
    <w:rsid w:val="003867A6"/>
    <w:rsid w:val="003877B2"/>
    <w:rsid w:val="003A5DCA"/>
    <w:rsid w:val="003C7F5A"/>
    <w:rsid w:val="003F6324"/>
    <w:rsid w:val="0041165D"/>
    <w:rsid w:val="00436A87"/>
    <w:rsid w:val="00460CF8"/>
    <w:rsid w:val="00465341"/>
    <w:rsid w:val="00472AB2"/>
    <w:rsid w:val="004838AB"/>
    <w:rsid w:val="0048399A"/>
    <w:rsid w:val="004F568C"/>
    <w:rsid w:val="00511284"/>
    <w:rsid w:val="005457A2"/>
    <w:rsid w:val="00593B50"/>
    <w:rsid w:val="005C73F6"/>
    <w:rsid w:val="006041FD"/>
    <w:rsid w:val="00626DC5"/>
    <w:rsid w:val="00635939"/>
    <w:rsid w:val="006541B8"/>
    <w:rsid w:val="00672B88"/>
    <w:rsid w:val="006C479A"/>
    <w:rsid w:val="006E70D7"/>
    <w:rsid w:val="00701F63"/>
    <w:rsid w:val="00740352"/>
    <w:rsid w:val="00745CE6"/>
    <w:rsid w:val="00772B75"/>
    <w:rsid w:val="00810EF3"/>
    <w:rsid w:val="008205FD"/>
    <w:rsid w:val="008920C9"/>
    <w:rsid w:val="008B5459"/>
    <w:rsid w:val="00970CB1"/>
    <w:rsid w:val="009A433B"/>
    <w:rsid w:val="009C3B03"/>
    <w:rsid w:val="009D5AC8"/>
    <w:rsid w:val="009E3285"/>
    <w:rsid w:val="009F511F"/>
    <w:rsid w:val="00A13874"/>
    <w:rsid w:val="00A14003"/>
    <w:rsid w:val="00A45A03"/>
    <w:rsid w:val="00A560A1"/>
    <w:rsid w:val="00A84C12"/>
    <w:rsid w:val="00AF7741"/>
    <w:rsid w:val="00B40F5F"/>
    <w:rsid w:val="00B50EDF"/>
    <w:rsid w:val="00B651BC"/>
    <w:rsid w:val="00BA4E03"/>
    <w:rsid w:val="00BB756F"/>
    <w:rsid w:val="00BD06F7"/>
    <w:rsid w:val="00C17182"/>
    <w:rsid w:val="00C17C54"/>
    <w:rsid w:val="00C30FA5"/>
    <w:rsid w:val="00C35CE0"/>
    <w:rsid w:val="00C579B6"/>
    <w:rsid w:val="00C80658"/>
    <w:rsid w:val="00C91B8A"/>
    <w:rsid w:val="00CA7EFF"/>
    <w:rsid w:val="00CC37F5"/>
    <w:rsid w:val="00CF08A9"/>
    <w:rsid w:val="00D0188D"/>
    <w:rsid w:val="00D40F12"/>
    <w:rsid w:val="00D57C4A"/>
    <w:rsid w:val="00DA59DF"/>
    <w:rsid w:val="00DB12C1"/>
    <w:rsid w:val="00DC14E6"/>
    <w:rsid w:val="00E22541"/>
    <w:rsid w:val="00E422C9"/>
    <w:rsid w:val="00E52BD0"/>
    <w:rsid w:val="00E67214"/>
    <w:rsid w:val="00E74D86"/>
    <w:rsid w:val="00E76D76"/>
    <w:rsid w:val="00E94142"/>
    <w:rsid w:val="00E96284"/>
    <w:rsid w:val="00EB1C83"/>
    <w:rsid w:val="00F81B42"/>
    <w:rsid w:val="00F932A7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58A45"/>
  <w15:docId w15:val="{A9CB838F-383E-4F32-B011-A36F1AA9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83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1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3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deblu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CE484-BBA2-4572-8E65-1044E5FAF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DBCC-7C99-4B74-A7C5-53BCED44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ad132-d279-47c5-bc8b-b6f5de5bc707"/>
    <ds:schemaRef ds:uri="7b960651-b951-44ce-a406-85f72410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23881-74BE-4DFC-B28F-180086E32D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8B0C4-6914-4B70-AD1F-5863ADCE7D5F}">
  <ds:schemaRefs>
    <ds:schemaRef ds:uri="http://schemas.microsoft.com/office/2006/metadata/properties"/>
    <ds:schemaRef ds:uri="http://schemas.microsoft.com/office/infopath/2007/PartnerControls"/>
    <ds:schemaRef ds:uri="7b960651-b951-44ce-a406-85f72410492a"/>
    <ds:schemaRef ds:uri="32cad132-d279-47c5-bc8b-b6f5de5bc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Blue Alert® 2.0</dc:subject>
  <dc:creator>David Cook</dc:creator>
  <cp:keywords>a&amp;e;ae-165;EMS</cp:keywords>
  <cp:lastModifiedBy>John Plooster</cp:lastModifiedBy>
  <cp:revision>7</cp:revision>
  <cp:lastPrinted>2013-06-10T18:33:00Z</cp:lastPrinted>
  <dcterms:created xsi:type="dcterms:W3CDTF">2024-03-18T19:11:00Z</dcterms:created>
  <dcterms:modified xsi:type="dcterms:W3CDTF">2024-03-18T19:21:00Z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1027400</vt:r8>
  </property>
  <property fmtid="{D5CDD505-2E9C-101B-9397-08002B2CF9AE}" pid="4" name="MediaServiceImageTags">
    <vt:lpwstr/>
  </property>
</Properties>
</file>